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9E2" w:rsidRDefault="004439E2" w:rsidP="004439E2">
      <w:pPr>
        <w:pStyle w:val="ConsPlusTitle"/>
        <w:spacing w:line="288" w:lineRule="auto"/>
        <w:jc w:val="right"/>
        <w:rPr>
          <w:rFonts w:ascii="Times New Roman" w:hAnsi="Times New Roman" w:cs="Times New Roman"/>
          <w:b w:val="0"/>
          <w:szCs w:val="22"/>
        </w:rPr>
      </w:pPr>
      <w:bookmarkStart w:id="0" w:name="_Toc435662327"/>
      <w:r>
        <w:rPr>
          <w:rFonts w:ascii="Times New Roman" w:hAnsi="Times New Roman" w:cs="Times New Roman"/>
          <w:b w:val="0"/>
          <w:szCs w:val="22"/>
        </w:rPr>
        <w:t xml:space="preserve">Приложение </w:t>
      </w:r>
      <w:r>
        <w:rPr>
          <w:rFonts w:ascii="Times New Roman" w:hAnsi="Times New Roman" w:cs="Times New Roman"/>
          <w:b w:val="0"/>
          <w:szCs w:val="22"/>
        </w:rPr>
        <w:t>7</w:t>
      </w:r>
    </w:p>
    <w:p w:rsidR="004439E2" w:rsidRDefault="004439E2" w:rsidP="004439E2">
      <w:pPr>
        <w:pStyle w:val="ConsPlusTitle"/>
        <w:spacing w:line="288" w:lineRule="auto"/>
        <w:jc w:val="right"/>
        <w:rPr>
          <w:rFonts w:ascii="Times New Roman" w:hAnsi="Times New Roman" w:cs="Times New Roman"/>
          <w:b w:val="0"/>
          <w:szCs w:val="22"/>
        </w:rPr>
      </w:pPr>
      <w:r>
        <w:rPr>
          <w:rFonts w:ascii="Times New Roman" w:hAnsi="Times New Roman" w:cs="Times New Roman"/>
          <w:b w:val="0"/>
          <w:szCs w:val="22"/>
        </w:rPr>
        <w:t xml:space="preserve">к Технологической схеме по предоставлению услуги </w:t>
      </w:r>
    </w:p>
    <w:p w:rsidR="004439E2" w:rsidRDefault="004439E2" w:rsidP="004439E2">
      <w:pPr>
        <w:pStyle w:val="ConsPlusTitle"/>
        <w:spacing w:line="288" w:lineRule="auto"/>
        <w:jc w:val="right"/>
        <w:rPr>
          <w:rFonts w:ascii="Times New Roman" w:hAnsi="Times New Roman" w:cs="Times New Roman"/>
          <w:b w:val="0"/>
          <w:szCs w:val="22"/>
        </w:rPr>
      </w:pPr>
      <w:r w:rsidRPr="00F40309">
        <w:rPr>
          <w:rFonts w:ascii="Times New Roman" w:hAnsi="Times New Roman" w:cs="Times New Roman"/>
          <w:b w:val="0"/>
          <w:szCs w:val="22"/>
        </w:rPr>
        <w:t xml:space="preserve">по предоставлению информации о формах и </w:t>
      </w:r>
    </w:p>
    <w:p w:rsidR="004439E2" w:rsidRDefault="004439E2" w:rsidP="004439E2">
      <w:pPr>
        <w:pStyle w:val="ConsPlusTitle"/>
        <w:spacing w:line="288" w:lineRule="auto"/>
        <w:jc w:val="right"/>
        <w:rPr>
          <w:rFonts w:ascii="Times New Roman" w:hAnsi="Times New Roman" w:cs="Times New Roman"/>
          <w:b w:val="0"/>
          <w:szCs w:val="22"/>
        </w:rPr>
      </w:pPr>
      <w:r w:rsidRPr="00F40309">
        <w:rPr>
          <w:rFonts w:ascii="Times New Roman" w:hAnsi="Times New Roman" w:cs="Times New Roman"/>
          <w:b w:val="0"/>
          <w:szCs w:val="22"/>
        </w:rPr>
        <w:t>условиях финансовой поддержки субъектов малого и среднего</w:t>
      </w:r>
    </w:p>
    <w:p w:rsidR="004439E2" w:rsidRDefault="004439E2" w:rsidP="004439E2">
      <w:pPr>
        <w:pStyle w:val="ConsPlusTitle"/>
        <w:spacing w:line="288" w:lineRule="auto"/>
        <w:jc w:val="right"/>
        <w:rPr>
          <w:rFonts w:ascii="Times New Roman" w:hAnsi="Times New Roman" w:cs="Times New Roman"/>
          <w:b w:val="0"/>
          <w:szCs w:val="22"/>
        </w:rPr>
      </w:pPr>
      <w:r w:rsidRPr="00F40309">
        <w:rPr>
          <w:rFonts w:ascii="Times New Roman" w:hAnsi="Times New Roman" w:cs="Times New Roman"/>
          <w:b w:val="0"/>
          <w:szCs w:val="22"/>
        </w:rPr>
        <w:t xml:space="preserve"> предпринимательства</w:t>
      </w:r>
      <w:r>
        <w:rPr>
          <w:rFonts w:ascii="Times New Roman" w:hAnsi="Times New Roman" w:cs="Times New Roman"/>
          <w:b w:val="0"/>
          <w:szCs w:val="22"/>
        </w:rPr>
        <w:t xml:space="preserve"> </w:t>
      </w:r>
      <w:r w:rsidRPr="00F40309">
        <w:rPr>
          <w:rFonts w:ascii="Times New Roman" w:hAnsi="Times New Roman" w:cs="Times New Roman"/>
          <w:b w:val="0"/>
          <w:szCs w:val="22"/>
        </w:rPr>
        <w:t>по заданным параметрам</w:t>
      </w:r>
    </w:p>
    <w:p w:rsidR="004D7917" w:rsidRPr="004A1BC1" w:rsidRDefault="004D7917" w:rsidP="00DF2AEB">
      <w:pPr>
        <w:pStyle w:val="ConsPlusNonformat"/>
        <w:jc w:val="center"/>
        <w:outlineLvl w:val="0"/>
        <w:rPr>
          <w:rFonts w:ascii="Times New Roman" w:hAnsi="Times New Roman" w:cs="Times New Roman"/>
          <w:b/>
          <w:sz w:val="22"/>
          <w:szCs w:val="22"/>
        </w:rPr>
      </w:pPr>
    </w:p>
    <w:bookmarkEnd w:id="0"/>
    <w:p w:rsidR="00DF2AEB" w:rsidRPr="004A1BC1" w:rsidRDefault="00DF2AEB" w:rsidP="00DF2AEB">
      <w:pPr>
        <w:pStyle w:val="ConsPlusNonformat"/>
        <w:jc w:val="center"/>
        <w:outlineLvl w:val="0"/>
        <w:rPr>
          <w:rFonts w:ascii="Times New Roman" w:hAnsi="Times New Roman" w:cs="Times New Roman"/>
          <w:b/>
          <w:sz w:val="22"/>
          <w:szCs w:val="22"/>
        </w:rPr>
      </w:pPr>
      <w:r w:rsidRPr="004A1BC1">
        <w:rPr>
          <w:rFonts w:ascii="Times New Roman" w:hAnsi="Times New Roman" w:cs="Times New Roman"/>
          <w:b/>
          <w:sz w:val="22"/>
          <w:szCs w:val="22"/>
        </w:rPr>
        <w:t>ИНФОРМАЦИ</w:t>
      </w:r>
      <w:r w:rsidR="00A72730" w:rsidRPr="004A1BC1">
        <w:rPr>
          <w:rFonts w:ascii="Times New Roman" w:hAnsi="Times New Roman" w:cs="Times New Roman"/>
          <w:b/>
          <w:sz w:val="22"/>
          <w:szCs w:val="22"/>
        </w:rPr>
        <w:t>Я</w:t>
      </w:r>
    </w:p>
    <w:p w:rsidR="00DF2AEB" w:rsidRPr="004A1BC1" w:rsidRDefault="00DF2AEB" w:rsidP="00DF2AEB">
      <w:pPr>
        <w:pStyle w:val="ConsPlusNonformat"/>
        <w:jc w:val="center"/>
        <w:outlineLvl w:val="0"/>
        <w:rPr>
          <w:rFonts w:ascii="Times New Roman" w:hAnsi="Times New Roman" w:cs="Times New Roman"/>
          <w:b/>
          <w:sz w:val="22"/>
          <w:szCs w:val="22"/>
        </w:rPr>
      </w:pPr>
    </w:p>
    <w:p w:rsidR="00CA783E" w:rsidRPr="004A1BC1" w:rsidRDefault="004D7917" w:rsidP="00CA783E">
      <w:pPr>
        <w:pStyle w:val="ConsPlusTitle"/>
        <w:spacing w:line="288" w:lineRule="auto"/>
        <w:jc w:val="center"/>
        <w:rPr>
          <w:rFonts w:ascii="Times New Roman" w:hAnsi="Times New Roman" w:cs="Times New Roman"/>
          <w:szCs w:val="22"/>
        </w:rPr>
      </w:pPr>
      <w:r w:rsidRPr="004A1BC1">
        <w:rPr>
          <w:rFonts w:ascii="Times New Roman" w:hAnsi="Times New Roman" w:cs="Times New Roman"/>
          <w:szCs w:val="22"/>
        </w:rPr>
        <w:t xml:space="preserve">о перечне </w:t>
      </w:r>
      <w:r w:rsidR="004B7453" w:rsidRPr="004A1BC1">
        <w:rPr>
          <w:rFonts w:ascii="Times New Roman" w:hAnsi="Times New Roman" w:cs="Times New Roman"/>
          <w:szCs w:val="22"/>
        </w:rPr>
        <w:t xml:space="preserve">видов </w:t>
      </w:r>
      <w:r w:rsidRPr="004A1BC1">
        <w:rPr>
          <w:rFonts w:ascii="Times New Roman" w:hAnsi="Times New Roman" w:cs="Times New Roman"/>
          <w:szCs w:val="22"/>
        </w:rPr>
        <w:t>и условиях гарантийной поддержки субъектов малого и среднего предпринимательства, предоставляемой Корпорацией</w:t>
      </w:r>
      <w:r w:rsidR="00CA783E" w:rsidRPr="004A1BC1" w:rsidDel="00E62EAB">
        <w:rPr>
          <w:rFonts w:ascii="Times New Roman" w:hAnsi="Times New Roman" w:cs="Times New Roman"/>
          <w:szCs w:val="22"/>
        </w:rPr>
        <w:t xml:space="preserve"> </w:t>
      </w:r>
    </w:p>
    <w:p w:rsidR="00DF2AEB" w:rsidRPr="004A1BC1" w:rsidRDefault="00DF2AEB" w:rsidP="00DF2AEB">
      <w:pPr>
        <w:pStyle w:val="ConsPlusNonformat"/>
        <w:jc w:val="center"/>
        <w:rPr>
          <w:rFonts w:ascii="Times New Roman" w:hAnsi="Times New Roman" w:cs="Times New Roman"/>
          <w:b/>
          <w:sz w:val="22"/>
          <w:szCs w:val="22"/>
        </w:rPr>
      </w:pPr>
    </w:p>
    <w:p w:rsidR="00C16B3A" w:rsidRDefault="00C16B3A" w:rsidP="00C16B3A">
      <w:pPr>
        <w:pStyle w:val="ConsPlusNonformat"/>
        <w:spacing w:line="360" w:lineRule="auto"/>
        <w:jc w:val="both"/>
        <w:rPr>
          <w:rFonts w:ascii="Times New Roman" w:hAnsi="Times New Roman" w:cs="Times New Roman"/>
          <w:sz w:val="22"/>
          <w:szCs w:val="22"/>
        </w:rPr>
      </w:pPr>
      <w:r>
        <w:rPr>
          <w:rFonts w:ascii="Times New Roman" w:hAnsi="Times New Roman" w:cs="Times New Roman"/>
          <w:sz w:val="22"/>
          <w:szCs w:val="22"/>
        </w:rPr>
        <w:t>«18</w:t>
      </w:r>
      <w:r w:rsidR="00F62E9D">
        <w:rPr>
          <w:rFonts w:ascii="Times New Roman" w:hAnsi="Times New Roman" w:cs="Times New Roman"/>
          <w:sz w:val="22"/>
          <w:szCs w:val="22"/>
        </w:rPr>
        <w:t>»</w:t>
      </w:r>
      <w:r>
        <w:rPr>
          <w:rFonts w:ascii="Times New Roman" w:hAnsi="Times New Roman" w:cs="Times New Roman"/>
          <w:sz w:val="22"/>
          <w:szCs w:val="22"/>
        </w:rPr>
        <w:t xml:space="preserve"> марта 2016 года                                                                                                                     № 123</w:t>
      </w:r>
    </w:p>
    <w:p w:rsidR="00C16B3A" w:rsidRDefault="00C16B3A" w:rsidP="00C16B3A">
      <w:pPr>
        <w:pStyle w:val="ConsPlusNonformat"/>
        <w:jc w:val="center"/>
        <w:rPr>
          <w:rFonts w:ascii="Times New Roman" w:hAnsi="Times New Roman" w:cs="Times New Roman"/>
          <w:sz w:val="22"/>
          <w:szCs w:val="22"/>
          <w:vertAlign w:val="superscript"/>
        </w:rPr>
      </w:pPr>
      <w:r>
        <w:rPr>
          <w:rFonts w:ascii="Times New Roman" w:hAnsi="Times New Roman" w:cs="Times New Roman"/>
          <w:sz w:val="22"/>
          <w:szCs w:val="22"/>
          <w:vertAlign w:val="superscript"/>
        </w:rPr>
        <w:t xml:space="preserve">                                    </w:t>
      </w:r>
    </w:p>
    <w:p w:rsidR="00C16B3A" w:rsidRDefault="00C16B3A" w:rsidP="00C16B3A">
      <w:pPr>
        <w:pStyle w:val="ConsPlusNonformat"/>
        <w:jc w:val="both"/>
        <w:rPr>
          <w:rFonts w:ascii="Times New Roman" w:hAnsi="Times New Roman" w:cs="Times New Roman"/>
          <w:sz w:val="22"/>
          <w:szCs w:val="22"/>
        </w:rPr>
      </w:pPr>
    </w:p>
    <w:p w:rsidR="00CA783E" w:rsidRPr="004A1BC1" w:rsidRDefault="00C16B3A" w:rsidP="00C16B3A">
      <w:pPr>
        <w:autoSpaceDE w:val="0"/>
        <w:autoSpaceDN w:val="0"/>
        <w:adjustRightInd w:val="0"/>
        <w:spacing w:after="0" w:line="360" w:lineRule="auto"/>
        <w:ind w:firstLine="567"/>
        <w:jc w:val="both"/>
        <w:rPr>
          <w:rFonts w:ascii="Times New Roman" w:hAnsi="Times New Roman" w:cs="Times New Roman"/>
        </w:rPr>
      </w:pPr>
      <w:r>
        <w:rPr>
          <w:rFonts w:ascii="Times New Roman" w:hAnsi="Times New Roman" w:cs="Times New Roman"/>
        </w:rPr>
        <w:t>На основании Заявления № 123-16/03/2016 от «</w:t>
      </w:r>
      <w:r w:rsidR="00F62E9D">
        <w:rPr>
          <w:rFonts w:ascii="Times New Roman" w:hAnsi="Times New Roman" w:cs="Times New Roman"/>
        </w:rPr>
        <w:t>18</w:t>
      </w:r>
      <w:bookmarkStart w:id="1" w:name="_GoBack"/>
      <w:bookmarkEnd w:id="1"/>
      <w:r>
        <w:rPr>
          <w:rFonts w:ascii="Times New Roman" w:hAnsi="Times New Roman" w:cs="Times New Roman"/>
        </w:rPr>
        <w:t>» марта 2016 года на</w:t>
      </w:r>
      <w:r w:rsidR="00CA783E" w:rsidRPr="004A1BC1">
        <w:rPr>
          <w:rFonts w:ascii="Times New Roman" w:hAnsi="Times New Roman" w:cs="Times New Roman"/>
        </w:rPr>
        <w:t xml:space="preserve"> получение услуги по </w:t>
      </w:r>
      <w:r w:rsidR="004B7453" w:rsidRPr="004A1BC1">
        <w:rPr>
          <w:rFonts w:ascii="Times New Roman" w:hAnsi="Times New Roman" w:cs="Times New Roman"/>
        </w:rPr>
        <w:t>предоставлению информации о формах и условиях</w:t>
      </w:r>
      <w:r w:rsidR="001B7506" w:rsidRPr="004A1BC1">
        <w:rPr>
          <w:rFonts w:ascii="Times New Roman" w:hAnsi="Times New Roman" w:cs="Times New Roman"/>
        </w:rPr>
        <w:t xml:space="preserve"> </w:t>
      </w:r>
      <w:r w:rsidR="00CA783E" w:rsidRPr="004A1BC1">
        <w:rPr>
          <w:rFonts w:ascii="Times New Roman" w:hAnsi="Times New Roman" w:cs="Times New Roman"/>
        </w:rPr>
        <w:t xml:space="preserve">финансовой поддержки субъектов малого и среднего предпринимательства, сообщаем перечень </w:t>
      </w:r>
      <w:r w:rsidR="00D107DB" w:rsidRPr="004A1BC1">
        <w:rPr>
          <w:rFonts w:ascii="Times New Roman" w:hAnsi="Times New Roman" w:cs="Times New Roman"/>
        </w:rPr>
        <w:t>и условия гарантийной поддержки субъектов малого и среднего предпринимательства, предоставляемой Корпорацией, а также информацию о порядке ее получения</w:t>
      </w:r>
      <w:r w:rsidR="00CA783E" w:rsidRPr="004A1BC1">
        <w:rPr>
          <w:rFonts w:ascii="Times New Roman" w:hAnsi="Times New Roman" w:cs="Times New Roman"/>
        </w:rPr>
        <w:t>:</w:t>
      </w:r>
    </w:p>
    <w:p w:rsidR="00D107DB" w:rsidRPr="004A1BC1" w:rsidRDefault="00D107DB" w:rsidP="00C16B3A">
      <w:pPr>
        <w:autoSpaceDE w:val="0"/>
        <w:autoSpaceDN w:val="0"/>
        <w:adjustRightInd w:val="0"/>
        <w:spacing w:after="0" w:line="360" w:lineRule="auto"/>
        <w:jc w:val="both"/>
        <w:rPr>
          <w:rFonts w:ascii="Times New Roman" w:hAnsi="Times New Roman" w:cs="Times New Roman"/>
        </w:rPr>
      </w:pPr>
      <w:r w:rsidRPr="004A1BC1">
        <w:rPr>
          <w:rFonts w:ascii="Times New Roman" w:hAnsi="Times New Roman" w:cs="Times New Roman"/>
          <w:b/>
          <w:lang w:val="en-US"/>
        </w:rPr>
        <w:t>I</w:t>
      </w:r>
      <w:r w:rsidRPr="004A1BC1">
        <w:rPr>
          <w:rFonts w:ascii="Times New Roman" w:hAnsi="Times New Roman" w:cs="Times New Roman"/>
          <w:b/>
        </w:rPr>
        <w:t xml:space="preserve">. Наименование гарантийного продукта 1: </w:t>
      </w:r>
      <w:r w:rsidR="00C16B3A" w:rsidRPr="00C16B3A">
        <w:rPr>
          <w:rFonts w:ascii="Times New Roman" w:hAnsi="Times New Roman" w:cs="Times New Roman"/>
        </w:rPr>
        <w:t>Прямая гарантия для обеспечения кредитов на исполнение контрактов</w:t>
      </w:r>
      <w:r w:rsidRPr="004A1BC1">
        <w:rPr>
          <w:rFonts w:ascii="Times New Roman" w:hAnsi="Times New Roman" w:cs="Times New Roman"/>
        </w:rPr>
        <w:t>.</w:t>
      </w:r>
    </w:p>
    <w:p w:rsidR="00D107DB" w:rsidRPr="004A1BC1" w:rsidRDefault="00D107DB" w:rsidP="00D107DB">
      <w:pPr>
        <w:autoSpaceDE w:val="0"/>
        <w:autoSpaceDN w:val="0"/>
        <w:adjustRightInd w:val="0"/>
        <w:spacing w:after="0" w:line="360" w:lineRule="auto"/>
        <w:jc w:val="both"/>
        <w:rPr>
          <w:rFonts w:ascii="Times New Roman" w:hAnsi="Times New Roman" w:cs="Times New Roman"/>
        </w:rPr>
      </w:pPr>
      <w:r w:rsidRPr="004A1BC1">
        <w:rPr>
          <w:rFonts w:ascii="Times New Roman" w:hAnsi="Times New Roman" w:cs="Times New Roman"/>
        </w:rPr>
        <w:t>Основные параметры гарантийного продукта 1:</w:t>
      </w:r>
    </w:p>
    <w:tbl>
      <w:tblPr>
        <w:tblStyle w:val="a3"/>
        <w:tblpPr w:leftFromText="180" w:rightFromText="180" w:vertAnchor="text" w:tblpY="1"/>
        <w:tblOverlap w:val="never"/>
        <w:tblW w:w="0" w:type="auto"/>
        <w:tblLook w:val="04A0" w:firstRow="1" w:lastRow="0" w:firstColumn="1" w:lastColumn="0" w:noHBand="0" w:noVBand="1"/>
      </w:tblPr>
      <w:tblGrid>
        <w:gridCol w:w="3367"/>
        <w:gridCol w:w="5972"/>
      </w:tblGrid>
      <w:tr w:rsidR="00D107DB" w:rsidRPr="004A1BC1" w:rsidTr="00C42ADB">
        <w:trPr>
          <w:trHeight w:val="415"/>
        </w:trPr>
        <w:tc>
          <w:tcPr>
            <w:tcW w:w="3369" w:type="dxa"/>
          </w:tcPr>
          <w:p w:rsidR="00D107DB" w:rsidRPr="004A1BC1" w:rsidRDefault="00D107DB" w:rsidP="00C42ADB">
            <w:pPr>
              <w:keepNext/>
              <w:keepLines/>
              <w:spacing w:before="200" w:after="0"/>
              <w:outlineLvl w:val="4"/>
              <w:rPr>
                <w:rFonts w:ascii="Times New Roman" w:hAnsi="Times New Roman" w:cs="Times New Roman"/>
              </w:rPr>
            </w:pPr>
            <w:r w:rsidRPr="004A1BC1">
              <w:rPr>
                <w:rFonts w:ascii="Times New Roman" w:hAnsi="Times New Roman" w:cs="Times New Roman"/>
              </w:rPr>
              <w:t>Целевое использование независимой гарантии</w:t>
            </w:r>
          </w:p>
        </w:tc>
        <w:tc>
          <w:tcPr>
            <w:tcW w:w="5976" w:type="dxa"/>
          </w:tcPr>
          <w:p w:rsidR="00C42ADB" w:rsidRPr="004A1BC1" w:rsidRDefault="00C42ADB" w:rsidP="00C42ADB">
            <w:pPr>
              <w:rPr>
                <w:rFonts w:ascii="Times New Roman" w:hAnsi="Times New Roman" w:cs="Times New Roman"/>
              </w:rPr>
            </w:pPr>
            <w:r w:rsidRPr="004A1BC1">
              <w:rPr>
                <w:rFonts w:ascii="Times New Roman" w:hAnsi="Times New Roman" w:cs="Times New Roman"/>
              </w:rPr>
              <w:t>Обеспечение исполнения части обязательств Заемщиков (субъектов малого и среднего предпринимательства):</w:t>
            </w:r>
          </w:p>
          <w:p w:rsidR="00C42ADB" w:rsidRPr="004A1BC1" w:rsidRDefault="00C42ADB" w:rsidP="004A1BC1">
            <w:pPr>
              <w:pStyle w:val="a4"/>
              <w:numPr>
                <w:ilvl w:val="0"/>
                <w:numId w:val="2"/>
              </w:numPr>
              <w:ind w:left="312" w:hanging="284"/>
              <w:rPr>
                <w:rFonts w:ascii="Times New Roman" w:hAnsi="Times New Roman" w:cs="Times New Roman"/>
              </w:rPr>
            </w:pPr>
            <w:r w:rsidRPr="004A1BC1">
              <w:rPr>
                <w:rFonts w:ascii="Times New Roman" w:hAnsi="Times New Roman" w:cs="Times New Roman"/>
              </w:rPr>
              <w:t>по кредитным договорам и иным договорам кредитного характера, заключаемым с Банками, и направляемым на цели исполнения заключенного/заключаемого контракта согласно Федеральных законов №44-ФЗ и №223-ФЗ.</w:t>
            </w:r>
          </w:p>
          <w:p w:rsidR="00C42ADB" w:rsidRPr="004A1BC1" w:rsidRDefault="00C42ADB" w:rsidP="00C16B3A">
            <w:pPr>
              <w:pStyle w:val="a4"/>
              <w:numPr>
                <w:ilvl w:val="0"/>
                <w:numId w:val="2"/>
              </w:numPr>
              <w:ind w:left="312" w:hanging="284"/>
              <w:rPr>
                <w:rFonts w:ascii="Times New Roman" w:hAnsi="Times New Roman" w:cs="Times New Roman"/>
              </w:rPr>
            </w:pPr>
            <w:r w:rsidRPr="004A1BC1">
              <w:rPr>
                <w:rFonts w:ascii="Times New Roman" w:hAnsi="Times New Roman" w:cs="Times New Roman"/>
              </w:rPr>
              <w:t xml:space="preserve">по кредитным договора и иным договорам кредитного характера, заключенным с Банками, и направленным/направляемым на цели исполнения заключенного/заключаемого контракта согласно Федеральных законов №44-ФЗ и №223-ФЗ. При этом кредитные средства в рамках договора могут быть предоставлены Заемщику частично или не предоставлены.  </w:t>
            </w:r>
          </w:p>
          <w:p w:rsidR="00C42ADB" w:rsidRPr="004A1BC1" w:rsidRDefault="00C42ADB" w:rsidP="00C42ADB">
            <w:pPr>
              <w:rPr>
                <w:rFonts w:ascii="Times New Roman" w:hAnsi="Times New Roman" w:cs="Times New Roman"/>
              </w:rPr>
            </w:pPr>
            <w:r w:rsidRPr="004A1BC1">
              <w:rPr>
                <w:rFonts w:ascii="Times New Roman" w:hAnsi="Times New Roman" w:cs="Times New Roman"/>
              </w:rPr>
              <w:t>По заключаемым Заемщиками с Банками кредитным договорам и иным договорам кредитного характера Гарантия Корпорации может быть предоставлена по кредитам со следующими формами кредитования:</w:t>
            </w:r>
          </w:p>
          <w:p w:rsidR="00C42ADB" w:rsidRPr="004A1BC1" w:rsidRDefault="00C42ADB" w:rsidP="00C16B3A">
            <w:pPr>
              <w:pStyle w:val="a4"/>
              <w:numPr>
                <w:ilvl w:val="0"/>
                <w:numId w:val="2"/>
              </w:numPr>
              <w:ind w:left="312" w:hanging="284"/>
              <w:rPr>
                <w:rFonts w:ascii="Times New Roman" w:hAnsi="Times New Roman" w:cs="Times New Roman"/>
              </w:rPr>
            </w:pPr>
            <w:r w:rsidRPr="004A1BC1">
              <w:rPr>
                <w:rFonts w:ascii="Times New Roman" w:hAnsi="Times New Roman" w:cs="Times New Roman"/>
              </w:rPr>
              <w:t>Кредит;</w:t>
            </w:r>
          </w:p>
          <w:p w:rsidR="00C42ADB" w:rsidRPr="004A1BC1" w:rsidRDefault="00C42ADB" w:rsidP="00C16B3A">
            <w:pPr>
              <w:pStyle w:val="a4"/>
              <w:numPr>
                <w:ilvl w:val="0"/>
                <w:numId w:val="2"/>
              </w:numPr>
              <w:ind w:left="312" w:hanging="284"/>
              <w:rPr>
                <w:rFonts w:ascii="Times New Roman" w:hAnsi="Times New Roman" w:cs="Times New Roman"/>
              </w:rPr>
            </w:pPr>
            <w:proofErr w:type="spellStart"/>
            <w:r w:rsidRPr="004A1BC1">
              <w:rPr>
                <w:rFonts w:ascii="Times New Roman" w:hAnsi="Times New Roman" w:cs="Times New Roman"/>
              </w:rPr>
              <w:t>Невозобновляемая</w:t>
            </w:r>
            <w:proofErr w:type="spellEnd"/>
            <w:r w:rsidRPr="004A1BC1">
              <w:rPr>
                <w:rFonts w:ascii="Times New Roman" w:hAnsi="Times New Roman" w:cs="Times New Roman"/>
              </w:rPr>
              <w:t xml:space="preserve"> кредитная линия.</w:t>
            </w:r>
          </w:p>
          <w:p w:rsidR="00C42ADB" w:rsidRPr="004A1BC1" w:rsidRDefault="00C42ADB" w:rsidP="00C42ADB">
            <w:pPr>
              <w:rPr>
                <w:rFonts w:ascii="Times New Roman" w:hAnsi="Times New Roman" w:cs="Times New Roman"/>
              </w:rPr>
            </w:pPr>
            <w:r w:rsidRPr="004A1BC1">
              <w:rPr>
                <w:rFonts w:ascii="Times New Roman" w:hAnsi="Times New Roman" w:cs="Times New Roman"/>
              </w:rPr>
              <w:t xml:space="preserve">По ранее заключенным Заемщиками c Банками кредитным договорам и иным договорам кредитного характера </w:t>
            </w:r>
            <w:r w:rsidRPr="004A1BC1">
              <w:rPr>
                <w:rFonts w:ascii="Times New Roman" w:hAnsi="Times New Roman" w:cs="Times New Roman"/>
              </w:rPr>
              <w:lastRenderedPageBreak/>
              <w:t>Гарантия Корпорации может быть предоставлена по кредитам со следующими формами кредитования:</w:t>
            </w:r>
          </w:p>
          <w:p w:rsidR="00C42ADB" w:rsidRPr="004A1BC1" w:rsidRDefault="00C42ADB" w:rsidP="00C16B3A">
            <w:pPr>
              <w:pStyle w:val="a4"/>
              <w:numPr>
                <w:ilvl w:val="0"/>
                <w:numId w:val="2"/>
              </w:numPr>
              <w:ind w:left="312" w:hanging="284"/>
              <w:rPr>
                <w:rFonts w:ascii="Times New Roman" w:hAnsi="Times New Roman" w:cs="Times New Roman"/>
              </w:rPr>
            </w:pPr>
            <w:r w:rsidRPr="004A1BC1">
              <w:rPr>
                <w:rFonts w:ascii="Times New Roman" w:hAnsi="Times New Roman" w:cs="Times New Roman"/>
              </w:rPr>
              <w:t xml:space="preserve">Кредит (гарантия Корпорации предоставляется только в случае если условиями заключенного кредитного договора предусмотрена выдача кредита при условии оформления Гарантии Корпорации/получения положительного решения Корпорации о предоставлении Гарантии). </w:t>
            </w:r>
          </w:p>
          <w:p w:rsidR="00C42ADB" w:rsidRPr="004A1BC1" w:rsidRDefault="00C42ADB" w:rsidP="00C16B3A">
            <w:pPr>
              <w:pStyle w:val="a4"/>
              <w:numPr>
                <w:ilvl w:val="0"/>
                <w:numId w:val="2"/>
              </w:numPr>
              <w:ind w:left="312" w:hanging="284"/>
              <w:rPr>
                <w:rFonts w:ascii="Times New Roman" w:hAnsi="Times New Roman" w:cs="Times New Roman"/>
              </w:rPr>
            </w:pPr>
            <w:proofErr w:type="spellStart"/>
            <w:r w:rsidRPr="004A1BC1">
              <w:rPr>
                <w:rFonts w:ascii="Times New Roman" w:hAnsi="Times New Roman" w:cs="Times New Roman"/>
              </w:rPr>
              <w:t>Невозобновляемая</w:t>
            </w:r>
            <w:proofErr w:type="spellEnd"/>
            <w:r w:rsidRPr="004A1BC1">
              <w:rPr>
                <w:rFonts w:ascii="Times New Roman" w:hAnsi="Times New Roman" w:cs="Times New Roman"/>
              </w:rPr>
              <w:t xml:space="preserve"> кредитная линия (гарантия предоставляется либо в случае если условиями заключенного кредитного договора предусмотрена выдача первого транша при условии оформления Гарантии Корпорации/получения положительного решения Корпорации о предоставлении гарантии, либо при выдаче очередного транша кредитной линии).</w:t>
            </w:r>
          </w:p>
          <w:p w:rsidR="00D107DB" w:rsidRPr="004A1BC1" w:rsidRDefault="00C42ADB" w:rsidP="00C42ADB">
            <w:pPr>
              <w:rPr>
                <w:rFonts w:ascii="Times New Roman" w:hAnsi="Times New Roman" w:cs="Times New Roman"/>
              </w:rPr>
            </w:pPr>
            <w:r w:rsidRPr="004A1BC1">
              <w:rPr>
                <w:rFonts w:ascii="Times New Roman" w:hAnsi="Times New Roman" w:cs="Times New Roman"/>
              </w:rPr>
              <w:t>При этом лимит ответственности Корпорации рассчитывается исходя из кредитных требований по кредиту (</w:t>
            </w:r>
            <w:proofErr w:type="spellStart"/>
            <w:r w:rsidRPr="004A1BC1">
              <w:rPr>
                <w:rFonts w:ascii="Times New Roman" w:hAnsi="Times New Roman" w:cs="Times New Roman"/>
              </w:rPr>
              <w:t>невозобновляемой</w:t>
            </w:r>
            <w:proofErr w:type="spellEnd"/>
            <w:r w:rsidRPr="004A1BC1">
              <w:rPr>
                <w:rFonts w:ascii="Times New Roman" w:hAnsi="Times New Roman" w:cs="Times New Roman"/>
              </w:rPr>
              <w:t xml:space="preserve"> кредитной линии) в целом.</w:t>
            </w:r>
          </w:p>
        </w:tc>
      </w:tr>
      <w:tr w:rsidR="00D107DB" w:rsidRPr="004A1BC1" w:rsidTr="00C42ADB">
        <w:trPr>
          <w:trHeight w:val="678"/>
        </w:trPr>
        <w:tc>
          <w:tcPr>
            <w:tcW w:w="3369" w:type="dxa"/>
          </w:tcPr>
          <w:p w:rsidR="00D107DB" w:rsidRPr="004A1BC1" w:rsidRDefault="00D107DB" w:rsidP="00C42ADB">
            <w:pPr>
              <w:keepNext/>
              <w:keepLines/>
              <w:spacing w:before="200" w:after="0"/>
              <w:outlineLvl w:val="4"/>
              <w:rPr>
                <w:rFonts w:ascii="Times New Roman" w:hAnsi="Times New Roman" w:cs="Times New Roman"/>
              </w:rPr>
            </w:pPr>
            <w:r w:rsidRPr="004A1BC1">
              <w:rPr>
                <w:rFonts w:ascii="Times New Roman" w:hAnsi="Times New Roman" w:cs="Times New Roman"/>
              </w:rPr>
              <w:lastRenderedPageBreak/>
              <w:t>Минимальная и максимальная сумма независимой гарантии</w:t>
            </w:r>
          </w:p>
        </w:tc>
        <w:tc>
          <w:tcPr>
            <w:tcW w:w="5976" w:type="dxa"/>
          </w:tcPr>
          <w:p w:rsidR="00D107DB" w:rsidRPr="004A1BC1" w:rsidRDefault="00C42ADB" w:rsidP="00C42ADB">
            <w:pPr>
              <w:rPr>
                <w:rFonts w:ascii="Times New Roman" w:hAnsi="Times New Roman" w:cs="Times New Roman"/>
              </w:rPr>
            </w:pPr>
            <w:r w:rsidRPr="004A1BC1">
              <w:rPr>
                <w:rFonts w:ascii="Times New Roman" w:hAnsi="Times New Roman" w:cs="Times New Roman"/>
              </w:rPr>
              <w:t>По решению Органа компетенции Корпорации</w:t>
            </w:r>
          </w:p>
        </w:tc>
      </w:tr>
      <w:tr w:rsidR="00D107DB" w:rsidRPr="004A1BC1" w:rsidTr="00C42ADB">
        <w:tc>
          <w:tcPr>
            <w:tcW w:w="3369" w:type="dxa"/>
          </w:tcPr>
          <w:p w:rsidR="00D107DB" w:rsidRPr="004A1BC1" w:rsidRDefault="00D107DB" w:rsidP="00C42ADB">
            <w:pPr>
              <w:keepNext/>
              <w:keepLines/>
              <w:spacing w:before="200" w:after="0"/>
              <w:outlineLvl w:val="4"/>
              <w:rPr>
                <w:rFonts w:ascii="Times New Roman" w:hAnsi="Times New Roman" w:cs="Times New Roman"/>
              </w:rPr>
            </w:pPr>
            <w:r w:rsidRPr="004A1BC1">
              <w:rPr>
                <w:rFonts w:ascii="Times New Roman" w:hAnsi="Times New Roman" w:cs="Times New Roman"/>
              </w:rPr>
              <w:t>Минимальный и максимальный срок независимой гарантии</w:t>
            </w:r>
          </w:p>
        </w:tc>
        <w:tc>
          <w:tcPr>
            <w:tcW w:w="5976" w:type="dxa"/>
          </w:tcPr>
          <w:p w:rsidR="00D107DB" w:rsidRPr="004A1BC1" w:rsidRDefault="00C42ADB" w:rsidP="00C42ADB">
            <w:pPr>
              <w:rPr>
                <w:rFonts w:ascii="Times New Roman" w:hAnsi="Times New Roman" w:cs="Times New Roman"/>
              </w:rPr>
            </w:pPr>
            <w:r w:rsidRPr="004A1BC1">
              <w:rPr>
                <w:rFonts w:ascii="Times New Roman" w:hAnsi="Times New Roman" w:cs="Times New Roman"/>
              </w:rPr>
              <w:t>не более 64 месяцев</w:t>
            </w:r>
          </w:p>
        </w:tc>
      </w:tr>
      <w:tr w:rsidR="00D107DB" w:rsidRPr="004A1BC1" w:rsidTr="00C42ADB">
        <w:trPr>
          <w:trHeight w:val="619"/>
        </w:trPr>
        <w:tc>
          <w:tcPr>
            <w:tcW w:w="3369" w:type="dxa"/>
          </w:tcPr>
          <w:p w:rsidR="00D107DB" w:rsidRPr="004A1BC1" w:rsidRDefault="00D107DB" w:rsidP="00C42ADB">
            <w:pPr>
              <w:keepNext/>
              <w:keepLines/>
              <w:spacing w:before="200" w:after="0"/>
              <w:outlineLvl w:val="4"/>
              <w:rPr>
                <w:rFonts w:ascii="Times New Roman" w:hAnsi="Times New Roman" w:cs="Times New Roman"/>
              </w:rPr>
            </w:pPr>
            <w:r w:rsidRPr="004A1BC1">
              <w:rPr>
                <w:rFonts w:ascii="Times New Roman" w:hAnsi="Times New Roman" w:cs="Times New Roman"/>
              </w:rPr>
              <w:t>Вознаграждение за предоставление независимой гарантии</w:t>
            </w:r>
          </w:p>
        </w:tc>
        <w:tc>
          <w:tcPr>
            <w:tcW w:w="5976" w:type="dxa"/>
          </w:tcPr>
          <w:p w:rsidR="00C42ADB" w:rsidRPr="004A1BC1" w:rsidRDefault="00C42ADB" w:rsidP="00C42ADB">
            <w:pPr>
              <w:keepNext/>
              <w:keepLines/>
              <w:spacing w:before="200" w:after="0"/>
              <w:outlineLvl w:val="4"/>
              <w:rPr>
                <w:rFonts w:ascii="Times New Roman" w:hAnsi="Times New Roman" w:cs="Times New Roman"/>
              </w:rPr>
            </w:pPr>
            <w:r w:rsidRPr="004A1BC1">
              <w:rPr>
                <w:rFonts w:ascii="Times New Roman" w:hAnsi="Times New Roman" w:cs="Times New Roman"/>
              </w:rPr>
              <w:t>1,25% годовых от суммы гарантии за весь срок действия гарантии</w:t>
            </w:r>
          </w:p>
          <w:p w:rsidR="00C42ADB" w:rsidRPr="004A1BC1" w:rsidRDefault="00C42ADB" w:rsidP="00C42ADB">
            <w:pPr>
              <w:keepNext/>
              <w:keepLines/>
              <w:spacing w:before="200" w:after="0"/>
              <w:outlineLvl w:val="4"/>
              <w:rPr>
                <w:rFonts w:ascii="Times New Roman" w:hAnsi="Times New Roman" w:cs="Times New Roman"/>
              </w:rPr>
            </w:pPr>
          </w:p>
          <w:p w:rsidR="00D107DB" w:rsidRPr="004A1BC1" w:rsidRDefault="00C42ADB" w:rsidP="00C42ADB">
            <w:pPr>
              <w:rPr>
                <w:rFonts w:ascii="Times New Roman" w:hAnsi="Times New Roman" w:cs="Times New Roman"/>
              </w:rPr>
            </w:pPr>
            <w:r w:rsidRPr="004A1BC1">
              <w:rPr>
                <w:rFonts w:ascii="Times New Roman" w:hAnsi="Times New Roman" w:cs="Times New Roman"/>
              </w:rPr>
              <w:t xml:space="preserve">При сумме гарантии более 50 млн. рублей вознаграждение за гарантию подлежит ежегодному перерасчету исходя из суммы основного долга по кредиту по состоянию на дату начала следующего финансового года </w:t>
            </w:r>
          </w:p>
        </w:tc>
      </w:tr>
      <w:tr w:rsidR="00D107DB" w:rsidRPr="004A1BC1" w:rsidTr="00C42ADB">
        <w:tc>
          <w:tcPr>
            <w:tcW w:w="3369" w:type="dxa"/>
          </w:tcPr>
          <w:p w:rsidR="00D107DB" w:rsidRPr="004A1BC1" w:rsidRDefault="00D107DB" w:rsidP="00C42ADB">
            <w:pPr>
              <w:keepNext/>
              <w:keepLines/>
              <w:spacing w:before="200" w:after="0"/>
              <w:outlineLvl w:val="4"/>
              <w:rPr>
                <w:rFonts w:ascii="Times New Roman" w:hAnsi="Times New Roman" w:cs="Times New Roman"/>
              </w:rPr>
            </w:pPr>
            <w:r w:rsidRPr="004A1BC1">
              <w:rPr>
                <w:rFonts w:ascii="Times New Roman" w:hAnsi="Times New Roman" w:cs="Times New Roman"/>
              </w:rPr>
              <w:t>Требования к субъекту МСП для предоставления независимой гарантии</w:t>
            </w:r>
          </w:p>
        </w:tc>
        <w:tc>
          <w:tcPr>
            <w:tcW w:w="5976" w:type="dxa"/>
          </w:tcPr>
          <w:p w:rsidR="00D107DB" w:rsidRPr="004A1BC1" w:rsidRDefault="00C42ADB" w:rsidP="00C42ADB">
            <w:pPr>
              <w:rPr>
                <w:rFonts w:ascii="Times New Roman" w:hAnsi="Times New Roman" w:cs="Times New Roman"/>
              </w:rPr>
            </w:pPr>
            <w:r w:rsidRPr="004A1BC1">
              <w:rPr>
                <w:rFonts w:ascii="Times New Roman" w:hAnsi="Times New Roman" w:cs="Times New Roman"/>
              </w:rPr>
              <w:t>Юридические лица / индивидуальные предприниматели / крестьянское (фермерское) хозяйство / потребительский кооператив – субъекты МСП, заключающие/заключившие контракт согласно Федеральных законов №44-ФЗ и №223-ФЗ</w:t>
            </w:r>
          </w:p>
        </w:tc>
      </w:tr>
    </w:tbl>
    <w:p w:rsidR="00D107DB" w:rsidRPr="004A1BC1" w:rsidRDefault="00D107DB" w:rsidP="00D107DB">
      <w:pPr>
        <w:pStyle w:val="a4"/>
        <w:tabs>
          <w:tab w:val="left" w:pos="390"/>
        </w:tabs>
        <w:rPr>
          <w:rFonts w:ascii="Times New Roman" w:hAnsi="Times New Roman" w:cs="Times New Roman"/>
        </w:rPr>
      </w:pPr>
    </w:p>
    <w:p w:rsidR="00D107DB" w:rsidRPr="004A1BC1" w:rsidRDefault="00D107DB" w:rsidP="00D107DB">
      <w:pPr>
        <w:autoSpaceDE w:val="0"/>
        <w:autoSpaceDN w:val="0"/>
        <w:adjustRightInd w:val="0"/>
        <w:spacing w:after="0" w:line="360" w:lineRule="auto"/>
        <w:jc w:val="both"/>
        <w:rPr>
          <w:rFonts w:ascii="Times New Roman" w:hAnsi="Times New Roman" w:cs="Times New Roman"/>
          <w:b/>
        </w:rPr>
      </w:pPr>
      <w:r w:rsidRPr="004A1BC1">
        <w:rPr>
          <w:rFonts w:ascii="Times New Roman" w:hAnsi="Times New Roman" w:cs="Times New Roman"/>
          <w:b/>
          <w:lang w:val="en-US"/>
        </w:rPr>
        <w:t>II</w:t>
      </w:r>
      <w:r w:rsidRPr="004A1BC1">
        <w:rPr>
          <w:rFonts w:ascii="Times New Roman" w:hAnsi="Times New Roman" w:cs="Times New Roman"/>
          <w:b/>
        </w:rPr>
        <w:t>. Перечень документов для предоставления независимой гарантии:</w:t>
      </w:r>
    </w:p>
    <w:p w:rsidR="00C42ADB" w:rsidRPr="004A1BC1" w:rsidRDefault="00B33678" w:rsidP="00D107DB">
      <w:pPr>
        <w:autoSpaceDE w:val="0"/>
        <w:autoSpaceDN w:val="0"/>
        <w:spacing w:before="120" w:after="120" w:line="360" w:lineRule="auto"/>
        <w:rPr>
          <w:rFonts w:ascii="Times New Roman" w:hAnsi="Times New Roman" w:cs="Times New Roman"/>
        </w:rPr>
      </w:pPr>
      <w:r w:rsidRPr="004A1BC1">
        <w:rPr>
          <w:rFonts w:ascii="Times New Roman" w:hAnsi="Times New Roman" w:cs="Times New Roman"/>
        </w:rPr>
        <w:t xml:space="preserve">1. </w:t>
      </w:r>
      <w:r w:rsidR="00C42ADB" w:rsidRPr="004A1BC1">
        <w:rPr>
          <w:rFonts w:ascii="Times New Roman" w:hAnsi="Times New Roman" w:cs="Times New Roman"/>
        </w:rPr>
        <w:t>Заявка на предоставление независимой гарантии</w:t>
      </w:r>
    </w:p>
    <w:p w:rsidR="00C42ADB" w:rsidRPr="004A1BC1" w:rsidRDefault="00C42ADB" w:rsidP="00D107DB">
      <w:pPr>
        <w:autoSpaceDE w:val="0"/>
        <w:autoSpaceDN w:val="0"/>
        <w:spacing w:before="120" w:after="120" w:line="360" w:lineRule="auto"/>
        <w:rPr>
          <w:rFonts w:ascii="Times New Roman" w:hAnsi="Times New Roman" w:cs="Times New Roman"/>
        </w:rPr>
      </w:pPr>
      <w:r w:rsidRPr="004A1BC1">
        <w:rPr>
          <w:rFonts w:ascii="Times New Roman" w:hAnsi="Times New Roman" w:cs="Times New Roman"/>
        </w:rPr>
        <w:t>2. Проект контракта/контракт</w:t>
      </w:r>
    </w:p>
    <w:p w:rsidR="00C42ADB" w:rsidRPr="004A1BC1" w:rsidRDefault="00C42ADB" w:rsidP="00D107DB">
      <w:pPr>
        <w:autoSpaceDE w:val="0"/>
        <w:autoSpaceDN w:val="0"/>
        <w:spacing w:before="120" w:after="120" w:line="360" w:lineRule="auto"/>
        <w:rPr>
          <w:rFonts w:ascii="Times New Roman" w:hAnsi="Times New Roman" w:cs="Times New Roman"/>
        </w:rPr>
      </w:pPr>
      <w:r w:rsidRPr="004A1BC1">
        <w:rPr>
          <w:rFonts w:ascii="Times New Roman" w:hAnsi="Times New Roman" w:cs="Times New Roman"/>
        </w:rPr>
        <w:t>3. Для предоставления Гарантии Корпорации по ранее заключенным Заемщиками с Банками кредитным договорам в форме кредита/</w:t>
      </w:r>
      <w:proofErr w:type="spellStart"/>
      <w:r w:rsidRPr="004A1BC1">
        <w:rPr>
          <w:rFonts w:ascii="Times New Roman" w:hAnsi="Times New Roman" w:cs="Times New Roman"/>
        </w:rPr>
        <w:t>невозобновляемой</w:t>
      </w:r>
      <w:proofErr w:type="spellEnd"/>
      <w:r w:rsidRPr="004A1BC1">
        <w:rPr>
          <w:rFonts w:ascii="Times New Roman" w:hAnsi="Times New Roman" w:cs="Times New Roman"/>
        </w:rPr>
        <w:t xml:space="preserve"> кредитной линии дополнительно к стандартному пакету документов предоставляется: к</w:t>
      </w:r>
    </w:p>
    <w:p w:rsidR="00B33678" w:rsidRPr="004A1BC1" w:rsidRDefault="00C42ADB" w:rsidP="00D107DB">
      <w:pPr>
        <w:autoSpaceDE w:val="0"/>
        <w:autoSpaceDN w:val="0"/>
        <w:spacing w:before="120" w:after="120" w:line="360" w:lineRule="auto"/>
        <w:rPr>
          <w:rFonts w:ascii="Times New Roman" w:hAnsi="Times New Roman" w:cs="Times New Roman"/>
        </w:rPr>
      </w:pPr>
      <w:r w:rsidRPr="004A1BC1">
        <w:rPr>
          <w:rFonts w:ascii="Times New Roman" w:hAnsi="Times New Roman" w:cs="Times New Roman"/>
        </w:rPr>
        <w:lastRenderedPageBreak/>
        <w:t>3.1. копия квартальной/годовой финансовой отчетности Заемщика (для заявок всех сегментов), Группы связанных компаний (для заявок «Среднего сегмента») на все отчетные даты, следующие за датой отчетности, использованной при подготовке кредитного заключения Банка на выдачу кредит</w:t>
      </w:r>
    </w:p>
    <w:p w:rsidR="00D107DB" w:rsidRPr="004A1BC1" w:rsidRDefault="00C42ADB" w:rsidP="00D107DB">
      <w:pPr>
        <w:autoSpaceDE w:val="0"/>
        <w:autoSpaceDN w:val="0"/>
        <w:spacing w:before="120" w:after="120" w:line="360" w:lineRule="auto"/>
        <w:rPr>
          <w:rFonts w:ascii="Times New Roman" w:hAnsi="Times New Roman" w:cs="Times New Roman"/>
        </w:rPr>
      </w:pPr>
      <w:r w:rsidRPr="004A1BC1">
        <w:rPr>
          <w:rFonts w:ascii="Times New Roman" w:hAnsi="Times New Roman" w:cs="Times New Roman"/>
        </w:rPr>
        <w:t>3.2</w:t>
      </w:r>
      <w:r w:rsidR="00B33678" w:rsidRPr="004A1BC1">
        <w:rPr>
          <w:rFonts w:ascii="Times New Roman" w:hAnsi="Times New Roman" w:cs="Times New Roman"/>
        </w:rPr>
        <w:t xml:space="preserve">. </w:t>
      </w:r>
      <w:r w:rsidRPr="004A1BC1">
        <w:rPr>
          <w:rFonts w:ascii="Times New Roman" w:hAnsi="Times New Roman" w:cs="Times New Roman"/>
        </w:rPr>
        <w:t>справка в свободной форме, содержащая информацию об актуальной выручке (с даты отчетности, на основании которой составлялось кредитное заключение на выдачу кредита, до даты направления в Корпорацию Заявки на получение независимой гарантии) и текущей задолженности по кредитам/займам/договорам лизинга (на дату направления в Корпорацию Заявки на получение независимой гарантии) Заемщика (для заявок всех сегментов), Группы связанных компаний (для заявок «Среднего сегмента"). Справка предоставляется в случае, если с даты отчетности, на основании которой составлялось кредитное заключение на выдачу кредита, по дату направления в Корпорацию Заявки по получение независимой гарантии прошло от 3 до 6 месяцев</w:t>
      </w:r>
    </w:p>
    <w:p w:rsidR="00B33678" w:rsidRPr="004A1BC1" w:rsidRDefault="00C42ADB" w:rsidP="00B33678">
      <w:pPr>
        <w:autoSpaceDE w:val="0"/>
        <w:autoSpaceDN w:val="0"/>
        <w:spacing w:before="120" w:after="120" w:line="360" w:lineRule="auto"/>
        <w:rPr>
          <w:rFonts w:ascii="Times New Roman" w:hAnsi="Times New Roman" w:cs="Times New Roman"/>
        </w:rPr>
      </w:pPr>
      <w:r w:rsidRPr="004A1BC1">
        <w:rPr>
          <w:rFonts w:ascii="Times New Roman" w:hAnsi="Times New Roman" w:cs="Times New Roman"/>
        </w:rPr>
        <w:t>3.3</w:t>
      </w:r>
      <w:r w:rsidR="00B33678" w:rsidRPr="004A1BC1">
        <w:rPr>
          <w:rFonts w:ascii="Times New Roman" w:hAnsi="Times New Roman" w:cs="Times New Roman"/>
        </w:rPr>
        <w:t xml:space="preserve">. </w:t>
      </w:r>
      <w:r w:rsidRPr="004A1BC1">
        <w:rPr>
          <w:rFonts w:ascii="Times New Roman" w:hAnsi="Times New Roman" w:cs="Times New Roman"/>
        </w:rPr>
        <w:t>актуализированное кредитное заключение Банка/справка в свободной форме о произошедших изменениях в бизнесе, составленные на основании актуальной финансовой отчетности и иной актуальной информации о Заемщике (для заявок всех сегментов), Группе связанных компаний (для заявок «Среднего сегмента»). В справке должна быть указана информация обо всех изменениях в бизнесе Заемщика (для заявок всех сегментов), Группы связанных компаний (для заявок «Среднего сегмента») относительно информации, указанной в кредитном заключении на выдачу кредита. Кредитное заключение/справка предоставляются в случае, если с даты отчетности, на основании которой составлялось кредитное заключение на выдачу кредита, по дату направления в Корпорацию Заявки по получение независимой гарантии прошло более 6-ти месяцев</w:t>
      </w:r>
    </w:p>
    <w:p w:rsidR="00B33678" w:rsidRPr="004A1BC1" w:rsidRDefault="00B33678" w:rsidP="00B33678">
      <w:pPr>
        <w:autoSpaceDE w:val="0"/>
        <w:autoSpaceDN w:val="0"/>
        <w:adjustRightInd w:val="0"/>
        <w:spacing w:after="0" w:line="360" w:lineRule="auto"/>
        <w:jc w:val="both"/>
        <w:rPr>
          <w:rFonts w:ascii="Times New Roman" w:hAnsi="Times New Roman" w:cs="Times New Roman"/>
          <w:b/>
        </w:rPr>
      </w:pPr>
    </w:p>
    <w:p w:rsidR="00D107DB" w:rsidRPr="004A1BC1" w:rsidRDefault="00B33678" w:rsidP="00B33678">
      <w:pPr>
        <w:autoSpaceDE w:val="0"/>
        <w:autoSpaceDN w:val="0"/>
        <w:adjustRightInd w:val="0"/>
        <w:spacing w:after="0" w:line="360" w:lineRule="auto"/>
        <w:jc w:val="both"/>
        <w:rPr>
          <w:rFonts w:ascii="Times New Roman" w:hAnsi="Times New Roman" w:cs="Times New Roman"/>
          <w:b/>
        </w:rPr>
      </w:pPr>
      <w:r w:rsidRPr="004A1BC1">
        <w:rPr>
          <w:rFonts w:ascii="Times New Roman" w:hAnsi="Times New Roman" w:cs="Times New Roman"/>
          <w:b/>
          <w:lang w:val="en-US"/>
        </w:rPr>
        <w:t>III</w:t>
      </w:r>
      <w:r w:rsidRPr="004A1BC1">
        <w:rPr>
          <w:rFonts w:ascii="Times New Roman" w:hAnsi="Times New Roman" w:cs="Times New Roman"/>
          <w:b/>
        </w:rPr>
        <w:t xml:space="preserve">. </w:t>
      </w:r>
      <w:r w:rsidR="00D107DB" w:rsidRPr="004A1BC1">
        <w:rPr>
          <w:rFonts w:ascii="Times New Roman" w:hAnsi="Times New Roman" w:cs="Times New Roman"/>
          <w:b/>
        </w:rPr>
        <w:t xml:space="preserve">Порядок получения гарантийной поддержки в рамках гарантийных продуктов: </w:t>
      </w:r>
    </w:p>
    <w:p w:rsidR="00B33678" w:rsidRPr="004A1BC1" w:rsidRDefault="00B33678" w:rsidP="00B33678">
      <w:pPr>
        <w:autoSpaceDE w:val="0"/>
        <w:autoSpaceDN w:val="0"/>
        <w:spacing w:before="120" w:after="120" w:line="360" w:lineRule="auto"/>
        <w:rPr>
          <w:rFonts w:ascii="Times New Roman" w:hAnsi="Times New Roman" w:cs="Times New Roman"/>
        </w:rPr>
      </w:pPr>
      <w:r w:rsidRPr="004A1BC1">
        <w:rPr>
          <w:rFonts w:ascii="Times New Roman" w:hAnsi="Times New Roman" w:cs="Times New Roman"/>
        </w:rPr>
        <w:t xml:space="preserve">1. </w:t>
      </w:r>
      <w:r w:rsidR="00C16B3A">
        <w:rPr>
          <w:rFonts w:ascii="Times New Roman" w:hAnsi="Times New Roman" w:cs="Times New Roman"/>
        </w:rPr>
        <w:t>Обращение в банк-партнер АО «Корпорация «МСП»</w:t>
      </w:r>
    </w:p>
    <w:p w:rsidR="00B33678" w:rsidRDefault="00B33678" w:rsidP="00B33678">
      <w:pPr>
        <w:autoSpaceDE w:val="0"/>
        <w:autoSpaceDN w:val="0"/>
        <w:spacing w:before="120" w:after="120" w:line="360" w:lineRule="auto"/>
        <w:rPr>
          <w:rFonts w:ascii="Times New Roman" w:hAnsi="Times New Roman" w:cs="Times New Roman"/>
        </w:rPr>
      </w:pPr>
      <w:r w:rsidRPr="004A1BC1">
        <w:rPr>
          <w:rFonts w:ascii="Times New Roman" w:hAnsi="Times New Roman" w:cs="Times New Roman"/>
        </w:rPr>
        <w:t xml:space="preserve">2. </w:t>
      </w:r>
      <w:r w:rsidR="00C16B3A">
        <w:rPr>
          <w:rFonts w:ascii="Times New Roman" w:hAnsi="Times New Roman" w:cs="Times New Roman"/>
        </w:rPr>
        <w:t>Оформление документов с участием менеджера банка-партнера</w:t>
      </w:r>
    </w:p>
    <w:p w:rsidR="00C16B3A" w:rsidRDefault="00C16B3A" w:rsidP="00B33678">
      <w:pPr>
        <w:autoSpaceDE w:val="0"/>
        <w:autoSpaceDN w:val="0"/>
        <w:spacing w:before="120" w:after="120" w:line="360" w:lineRule="auto"/>
        <w:rPr>
          <w:rFonts w:ascii="Times New Roman" w:hAnsi="Times New Roman" w:cs="Times New Roman"/>
        </w:rPr>
      </w:pPr>
      <w:r>
        <w:rPr>
          <w:rFonts w:ascii="Times New Roman" w:hAnsi="Times New Roman" w:cs="Times New Roman"/>
        </w:rPr>
        <w:t>3. Направление банком-партнером заявления с комплектом документов в АО «Корпорация «МСП»</w:t>
      </w:r>
    </w:p>
    <w:p w:rsidR="00C16B3A" w:rsidRPr="004A1BC1" w:rsidRDefault="00C16B3A" w:rsidP="00B33678">
      <w:pPr>
        <w:autoSpaceDE w:val="0"/>
        <w:autoSpaceDN w:val="0"/>
        <w:spacing w:before="120" w:after="120" w:line="360" w:lineRule="auto"/>
        <w:rPr>
          <w:rFonts w:ascii="Times New Roman" w:hAnsi="Times New Roman" w:cs="Times New Roman"/>
        </w:rPr>
      </w:pPr>
      <w:r>
        <w:rPr>
          <w:rFonts w:ascii="Times New Roman" w:hAnsi="Times New Roman" w:cs="Times New Roman"/>
        </w:rPr>
        <w:t>4. Принятие решения о предоставлении гарантии АО «Корпорация «МСП»</w:t>
      </w:r>
    </w:p>
    <w:p w:rsidR="00C16B3A" w:rsidRDefault="00C16B3A" w:rsidP="00C16B3A">
      <w:pPr>
        <w:pStyle w:val="ConsPlusNormal"/>
        <w:spacing w:before="120"/>
        <w:jc w:val="both"/>
        <w:rPr>
          <w:rFonts w:ascii="Times New Roman" w:hAnsi="Times New Roman" w:cs="Times New Roman"/>
          <w:b/>
          <w:szCs w:val="22"/>
        </w:rPr>
      </w:pPr>
      <w:r>
        <w:rPr>
          <w:rFonts w:ascii="Times New Roman" w:hAnsi="Times New Roman" w:cs="Times New Roman"/>
          <w:b/>
          <w:szCs w:val="22"/>
        </w:rPr>
        <w:t>___</w:t>
      </w:r>
      <w:r>
        <w:rPr>
          <w:rFonts w:ascii="Mistral" w:hAnsi="Mistral" w:cs="Times New Roman"/>
          <w:b/>
          <w:szCs w:val="22"/>
          <w:u w:val="single"/>
        </w:rPr>
        <w:t>Симонова</w:t>
      </w:r>
      <w:r>
        <w:rPr>
          <w:rFonts w:ascii="Times New Roman" w:hAnsi="Times New Roman" w:cs="Times New Roman"/>
          <w:b/>
          <w:szCs w:val="22"/>
        </w:rPr>
        <w:t>____</w:t>
      </w:r>
      <w:r>
        <w:rPr>
          <w:rFonts w:ascii="Times New Roman" w:hAnsi="Times New Roman" w:cs="Times New Roman"/>
          <w:b/>
          <w:szCs w:val="22"/>
        </w:rPr>
        <w:tab/>
        <w:t xml:space="preserve">         </w:t>
      </w:r>
      <w:r>
        <w:rPr>
          <w:rFonts w:ascii="Times New Roman" w:hAnsi="Times New Roman" w:cs="Times New Roman"/>
          <w:szCs w:val="22"/>
        </w:rPr>
        <w:t>___</w:t>
      </w:r>
      <w:r>
        <w:rPr>
          <w:rFonts w:ascii="Times New Roman" w:hAnsi="Times New Roman" w:cs="Times New Roman"/>
          <w:szCs w:val="22"/>
          <w:u w:val="single"/>
        </w:rPr>
        <w:t>Симонова А.В.___</w:t>
      </w:r>
      <w:r>
        <w:rPr>
          <w:rFonts w:ascii="Times New Roman" w:hAnsi="Times New Roman" w:cs="Times New Roman"/>
          <w:b/>
          <w:szCs w:val="22"/>
        </w:rPr>
        <w:tab/>
        <w:t xml:space="preserve">             </w:t>
      </w:r>
      <w:r>
        <w:rPr>
          <w:rFonts w:ascii="Times New Roman" w:hAnsi="Times New Roman" w:cs="Times New Roman"/>
          <w:szCs w:val="22"/>
        </w:rPr>
        <w:t>________</w:t>
      </w:r>
      <w:r>
        <w:rPr>
          <w:rFonts w:ascii="Times New Roman" w:hAnsi="Times New Roman" w:cs="Times New Roman"/>
          <w:szCs w:val="22"/>
          <w:u w:val="single"/>
        </w:rPr>
        <w:t>оператор_____________</w:t>
      </w:r>
    </w:p>
    <w:p w:rsidR="00C16B3A" w:rsidRDefault="00C16B3A" w:rsidP="00C16B3A">
      <w:pPr>
        <w:pStyle w:val="ConsPlusNormal"/>
        <w:spacing w:before="120"/>
        <w:rPr>
          <w:rFonts w:ascii="Times New Roman" w:hAnsi="Times New Roman" w:cs="Times New Roman"/>
          <w:szCs w:val="22"/>
        </w:rPr>
      </w:pPr>
      <w:r>
        <w:rPr>
          <w:rFonts w:ascii="Times New Roman" w:hAnsi="Times New Roman" w:cs="Times New Roman"/>
          <w:szCs w:val="22"/>
        </w:rPr>
        <w:t xml:space="preserve">       Подпись                                        ФИО</w:t>
      </w:r>
      <w:r>
        <w:rPr>
          <w:rFonts w:ascii="Times New Roman" w:hAnsi="Times New Roman" w:cs="Times New Roman"/>
          <w:szCs w:val="22"/>
        </w:rPr>
        <w:tab/>
      </w:r>
      <w:r>
        <w:rPr>
          <w:rFonts w:ascii="Times New Roman" w:hAnsi="Times New Roman" w:cs="Times New Roman"/>
          <w:szCs w:val="22"/>
        </w:rPr>
        <w:tab/>
        <w:t xml:space="preserve">                            Должность </w:t>
      </w:r>
    </w:p>
    <w:p w:rsidR="0034596F" w:rsidRPr="004A1BC1" w:rsidRDefault="0034596F" w:rsidP="00DF2AEB">
      <w:pPr>
        <w:pStyle w:val="ConsPlusNormal"/>
        <w:spacing w:before="120"/>
        <w:jc w:val="both"/>
        <w:rPr>
          <w:rFonts w:ascii="Times New Roman" w:hAnsi="Times New Roman" w:cs="Times New Roman"/>
          <w:b/>
          <w:szCs w:val="22"/>
        </w:rPr>
      </w:pPr>
    </w:p>
    <w:p w:rsidR="006836D1" w:rsidRPr="004A1BC1" w:rsidRDefault="006836D1" w:rsidP="006836D1">
      <w:pPr>
        <w:autoSpaceDE w:val="0"/>
        <w:autoSpaceDN w:val="0"/>
        <w:adjustRightInd w:val="0"/>
        <w:spacing w:after="0"/>
        <w:ind w:firstLine="567"/>
        <w:jc w:val="both"/>
        <w:rPr>
          <w:rFonts w:ascii="Times New Roman" w:hAnsi="Times New Roman" w:cs="Times New Roman"/>
        </w:rPr>
      </w:pPr>
      <w:r w:rsidRPr="004A1BC1">
        <w:rPr>
          <w:rFonts w:ascii="Times New Roman" w:hAnsi="Times New Roman" w:cs="Times New Roman"/>
        </w:rPr>
        <w:t xml:space="preserve">Если, после получения результата предоставления Услуги, у Вас остались вопросы, Вы можете обратиться в АО «Корпорация «МСП» через сайт </w:t>
      </w:r>
      <w:hyperlink r:id="rId5" w:history="1">
        <w:r w:rsidRPr="004A1BC1">
          <w:rPr>
            <w:rFonts w:ascii="Times New Roman" w:hAnsi="Times New Roman" w:cs="Times New Roman"/>
          </w:rPr>
          <w:t>www.acgrf.ru</w:t>
        </w:r>
      </w:hyperlink>
      <w:r w:rsidRPr="004A1BC1">
        <w:rPr>
          <w:rFonts w:ascii="Times New Roman" w:hAnsi="Times New Roman" w:cs="Times New Roman"/>
        </w:rPr>
        <w:t>, раздел «Задать вопрос».</w:t>
      </w:r>
    </w:p>
    <w:p w:rsidR="0034596F" w:rsidRPr="004A1BC1" w:rsidRDefault="0034596F" w:rsidP="00C16B3A">
      <w:pPr>
        <w:pStyle w:val="ConsPlusNormal"/>
        <w:jc w:val="both"/>
        <w:rPr>
          <w:rFonts w:ascii="Times New Roman" w:hAnsi="Times New Roman" w:cs="Times New Roman"/>
          <w:b/>
          <w:szCs w:val="22"/>
        </w:rPr>
      </w:pPr>
    </w:p>
    <w:sectPr w:rsidR="0034596F" w:rsidRPr="004A1BC1" w:rsidSect="004D7917">
      <w:pgSz w:w="11900" w:h="16840"/>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istral">
    <w:panose1 w:val="03090702030407020403"/>
    <w:charset w:val="CC"/>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D720A5"/>
    <w:multiLevelType w:val="hybridMultilevel"/>
    <w:tmpl w:val="B1C686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BBD2768"/>
    <w:multiLevelType w:val="hybridMultilevel"/>
    <w:tmpl w:val="E5B60922"/>
    <w:lvl w:ilvl="0" w:tplc="E9728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AEB"/>
    <w:rsid w:val="00051520"/>
    <w:rsid w:val="001524E0"/>
    <w:rsid w:val="001730B9"/>
    <w:rsid w:val="001B7506"/>
    <w:rsid w:val="00276D8A"/>
    <w:rsid w:val="0034596F"/>
    <w:rsid w:val="004439E2"/>
    <w:rsid w:val="00470774"/>
    <w:rsid w:val="004A1BC1"/>
    <w:rsid w:val="004B7453"/>
    <w:rsid w:val="004D7917"/>
    <w:rsid w:val="00534ADD"/>
    <w:rsid w:val="005B5761"/>
    <w:rsid w:val="00611DEE"/>
    <w:rsid w:val="006836D1"/>
    <w:rsid w:val="00794C2D"/>
    <w:rsid w:val="00976F4F"/>
    <w:rsid w:val="00A72730"/>
    <w:rsid w:val="00B33678"/>
    <w:rsid w:val="00B45BF0"/>
    <w:rsid w:val="00C16B3A"/>
    <w:rsid w:val="00C3383C"/>
    <w:rsid w:val="00C42ADB"/>
    <w:rsid w:val="00CA783E"/>
    <w:rsid w:val="00D043B7"/>
    <w:rsid w:val="00D107DB"/>
    <w:rsid w:val="00D324AE"/>
    <w:rsid w:val="00DF2AEB"/>
    <w:rsid w:val="00F20222"/>
    <w:rsid w:val="00F60208"/>
    <w:rsid w:val="00F62E9D"/>
    <w:rsid w:val="00FA31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1E56DC"/>
  <w15:docId w15:val="{5C023491-FDBB-4ACF-83E4-43E82A83A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2AEB"/>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F2AEB"/>
    <w:pPr>
      <w:widowControl w:val="0"/>
      <w:autoSpaceDE w:val="0"/>
      <w:autoSpaceDN w:val="0"/>
    </w:pPr>
    <w:rPr>
      <w:rFonts w:ascii="Calibri" w:eastAsia="Times New Roman" w:hAnsi="Calibri" w:cs="Calibri"/>
      <w:sz w:val="22"/>
      <w:szCs w:val="20"/>
    </w:rPr>
  </w:style>
  <w:style w:type="paragraph" w:customStyle="1" w:styleId="ConsPlusNonformat">
    <w:name w:val="ConsPlusNonformat"/>
    <w:rsid w:val="00DF2AEB"/>
    <w:pPr>
      <w:widowControl w:val="0"/>
      <w:autoSpaceDE w:val="0"/>
      <w:autoSpaceDN w:val="0"/>
    </w:pPr>
    <w:rPr>
      <w:rFonts w:ascii="Courier New" w:eastAsia="Times New Roman" w:hAnsi="Courier New" w:cs="Courier New"/>
      <w:sz w:val="20"/>
      <w:szCs w:val="20"/>
    </w:rPr>
  </w:style>
  <w:style w:type="paragraph" w:customStyle="1" w:styleId="ConsPlusTitle">
    <w:name w:val="ConsPlusTitle"/>
    <w:rsid w:val="00DF2AEB"/>
    <w:pPr>
      <w:widowControl w:val="0"/>
      <w:autoSpaceDE w:val="0"/>
      <w:autoSpaceDN w:val="0"/>
    </w:pPr>
    <w:rPr>
      <w:rFonts w:ascii="Calibri" w:eastAsia="Times New Roman" w:hAnsi="Calibri" w:cs="Calibri"/>
      <w:b/>
      <w:sz w:val="22"/>
      <w:szCs w:val="20"/>
    </w:rPr>
  </w:style>
  <w:style w:type="character" w:customStyle="1" w:styleId="ConsPlusNormal0">
    <w:name w:val="ConsPlusNormal Знак"/>
    <w:link w:val="ConsPlusNormal"/>
    <w:locked/>
    <w:rsid w:val="00DF2AEB"/>
    <w:rPr>
      <w:rFonts w:ascii="Calibri" w:eastAsia="Times New Roman" w:hAnsi="Calibri" w:cs="Calibri"/>
      <w:sz w:val="22"/>
      <w:szCs w:val="20"/>
    </w:rPr>
  </w:style>
  <w:style w:type="table" w:styleId="a3">
    <w:name w:val="Table Grid"/>
    <w:basedOn w:val="a1"/>
    <w:uiPriority w:val="39"/>
    <w:rsid w:val="00CA783E"/>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107DB"/>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046474">
      <w:bodyDiv w:val="1"/>
      <w:marLeft w:val="0"/>
      <w:marRight w:val="0"/>
      <w:marTop w:val="0"/>
      <w:marBottom w:val="0"/>
      <w:divBdr>
        <w:top w:val="none" w:sz="0" w:space="0" w:color="auto"/>
        <w:left w:val="none" w:sz="0" w:space="0" w:color="auto"/>
        <w:bottom w:val="none" w:sz="0" w:space="0" w:color="auto"/>
        <w:right w:val="none" w:sz="0" w:space="0" w:color="auto"/>
      </w:divBdr>
    </w:div>
    <w:div w:id="3053586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cgrf.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974</Words>
  <Characters>5557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Кондакова Наталия Петровна</dc:creator>
  <cp:lastModifiedBy>Яковлева Наталья Андреевна</cp:lastModifiedBy>
  <cp:revision>4</cp:revision>
  <cp:lastPrinted>2015-11-25T14:34:00Z</cp:lastPrinted>
  <dcterms:created xsi:type="dcterms:W3CDTF">2016-03-31T15:01:00Z</dcterms:created>
  <dcterms:modified xsi:type="dcterms:W3CDTF">2016-03-31T15:04:00Z</dcterms:modified>
</cp:coreProperties>
</file>